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right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ГОСТ 9.307-89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right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(ИСО 1461-89)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right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right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Группа Т94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МЕЖГОСУДАРСТВЕННЫЙ СТАНДАРТ 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Единая система защиты от коррозии и старения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ПОКРЫТИЯ ЦИНКОВЫЕ ГОРЯЧИЕ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Общие требования и методы контроля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Unified system of corrosion and ageing protection. Hot-dip zinc coatings. General requirements and methods of control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МКС 25.220.40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ОКСТУ 0009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right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Дата введения 1990-07-01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360" w:before="0" w:lineRule="auto"/>
        <w:jc w:val="center"/>
        <w:rPr>
          <w:b w:val="1"/>
          <w:color w:val="444444"/>
          <w:sz w:val="24"/>
          <w:szCs w:val="24"/>
        </w:rPr>
      </w:pPr>
      <w:bookmarkStart w:colFirst="0" w:colLast="0" w:name="_6vzm6mke15pv" w:id="0"/>
      <w:bookmarkEnd w:id="0"/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ИНФОРМАЦИОННЫЕ ДАННЫЕ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 РАЗРАБОТАН И ВНЕСЕН Государственным строительным комитетом СССР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РАЗРАБОТЧИКИ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С.В.Марутьян, канд. техн. наук (руководитель темы), С.А.Клочко, Л.Н.Павлова, С.Г.Гутник, Л.М.Белоусова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2. УТВЕРЖДЕН И ВВЕДЕН В ДЕЙСТВИЕ Постановлением Государственного комитета СССР по стандартам от 30.05.89 N 1379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 Стандарт полностью соответствует международным стандартам ИСО 1461-89*, СТ СЭВ 4663-84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* Доступ к международным и зарубежным документам, упомянутым в тексте, можно получить, обратившись в </w:t>
      </w:r>
      <w:hyperlink r:id="rId6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Службу поддержки пользователей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. - Примечание изготовителя базы данных.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3451a0"/>
          <w:sz w:val="24"/>
          <w:szCs w:val="24"/>
          <w:u w:val="single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 ВЗАМЕН </w:t>
      </w:r>
      <w:hyperlink r:id="rId7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9.307-85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5. ССЫЛОЧНЫЕ НОРМАТИВНО-ТЕХНИЧЕСКИЕ ДОКУМЕНТЫ</w:t>
      </w:r>
    </w:p>
    <w:tbl>
      <w:tblPr>
        <w:tblStyle w:val="Table1"/>
        <w:tblW w:w="669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70"/>
        <w:gridCol w:w="2820"/>
        <w:tblGridChange w:id="0">
          <w:tblGrid>
            <w:gridCol w:w="3870"/>
            <w:gridCol w:w="2820"/>
          </w:tblGrid>
        </w:tblGridChange>
      </w:tblGrid>
      <w:tr>
        <w:trPr>
          <w:trHeight w:val="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Обозначение НТД, на который дана ссылка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Номер пункта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3451a0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color w:val="3451a0"/>
                  <w:sz w:val="24"/>
                  <w:szCs w:val="24"/>
                  <w:u w:val="single"/>
                  <w:rtl w:val="0"/>
                </w:rPr>
                <w:t xml:space="preserve">ГОСТ 9.302-88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4.2.3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3451a0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color w:val="3451a0"/>
                  <w:sz w:val="24"/>
                  <w:szCs w:val="24"/>
                  <w:u w:val="single"/>
                  <w:rtl w:val="0"/>
                </w:rPr>
                <w:t xml:space="preserve">ГОСТ 9.402-80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1.2.5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3451a0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color w:val="3451a0"/>
                  <w:sz w:val="24"/>
                  <w:szCs w:val="24"/>
                  <w:u w:val="single"/>
                  <w:rtl w:val="0"/>
                </w:rPr>
                <w:t xml:space="preserve">ГОСТ 3118-77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4.2.3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3451a0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color w:val="3451a0"/>
                  <w:sz w:val="24"/>
                  <w:szCs w:val="24"/>
                  <w:u w:val="single"/>
                  <w:rtl w:val="0"/>
                </w:rPr>
                <w:t xml:space="preserve">ГОСТ 6709-72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4.2.3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3451a0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color w:val="3451a0"/>
                  <w:sz w:val="24"/>
                  <w:szCs w:val="24"/>
                  <w:u w:val="single"/>
                  <w:rtl w:val="0"/>
                </w:rPr>
                <w:t xml:space="preserve">ГОСТ 19251.1-79</w:t>
              </w:r>
            </w:hyperlink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 - </w:t>
            </w:r>
            <w:hyperlink r:id="rId13">
              <w:r w:rsidDel="00000000" w:rsidR="00000000" w:rsidRPr="00000000">
                <w:rPr>
                  <w:color w:val="3451a0"/>
                  <w:sz w:val="24"/>
                  <w:szCs w:val="24"/>
                  <w:u w:val="single"/>
                  <w:rtl w:val="0"/>
                </w:rPr>
                <w:t xml:space="preserve">ГОСТ 19251.3-79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4.3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3451a0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color w:val="3451a0"/>
                  <w:sz w:val="24"/>
                  <w:szCs w:val="24"/>
                  <w:u w:val="single"/>
                  <w:rtl w:val="0"/>
                </w:rPr>
                <w:t xml:space="preserve">ГОСТ 19251.5-79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  <w:rtl w:val="0"/>
              </w:rPr>
              <w:t xml:space="preserve">4.3</w:t>
            </w:r>
          </w:p>
        </w:tc>
      </w:tr>
    </w:tbl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6. ПЕРЕИЗДАНИЕ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Настоящий стандарт устанавливает общие требования (далее - требования) к защитным покрытиям, нанесенным методом горячего цинкования (далее - покрытиям) на конструкционную сталь, в том числе повышенной прочности, стальные конструкции, изделия из фасонного проката и листовой стали, комплекты труб, трубы большого диаметра, изогнутые или сваренные до нанесения покрытия, контейнеры, изделия из стальной проволоки, крепежные изделия, обрабатываемые в общей массе, стальные и чугунные отливки, поковки, штампованные стальные изделия, а также к основному металлу и методам контроля качества покрытий.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Настоящий стандарт не распространяется на покрытия, нанесенные непрерывным способом.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360" w:before="0" w:lineRule="auto"/>
        <w:jc w:val="center"/>
        <w:rPr>
          <w:b w:val="1"/>
          <w:color w:val="444444"/>
          <w:sz w:val="24"/>
          <w:szCs w:val="24"/>
        </w:rPr>
      </w:pPr>
      <w:bookmarkStart w:colFirst="0" w:colLast="0" w:name="_4gdejfyvefj4" w:id="1"/>
      <w:bookmarkEnd w:id="1"/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1. ТРЕБОВАНИЯ К ОСНОВНОМУ МЕТАЛЛУ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1.1. Требования к конструкции изделий, подлежащих цинкованию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1.1.1. В конструкциях не должно быть карманов, закрытых полостей и воздушных мешков; все полости должны быть доступны для беспрепятственного поступления и выхода из них жидкостей, расплавленного цинка и газов.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Полые изделия и изделия сложной формы подвергают пробному цинкованию.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Не допускается во избежание взрыва наносить покрытия на изделия, имеющие закрытые полости.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1.1.2. Сварку элементов конструкций следует производить встык либо двусторонними швами, либо односторонним швом с подваркой.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Не допускается цинковать изделия со сварными соединениями внахлестку.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1.2. Требования к поверхности основного металла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1.2.1. На поверхности основного металла не допускаются закатанная окалина, заусенцы, поры, включения, сварочные шлаки, остатки формовочной массы, графита, смазки, металлической стружки, маркировочной краски.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1.2.2. На поверхности литых изделий не должно быть пор и усадочных раковин.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1.2.3. Сварные швы должны быть равномерными, плотными и сплошными по всей длине.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Не допускаются поры, свищи, трещины, шлаковые включения, наплавные сопряжения сварных швов.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1.2.4. Острые углы и кромки изделий, за исключением технически обоснованных случаев, должны быть скруглены радиусом не менее 0,3 мм.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1.2.5. Поверхность изделий, подлежащих горячему цинкованию, должна быть очищена обезжириванием, последующим травлением или струйно-абразивной обработкой, затем офлюсована.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Степень очистки поверхности от окалины и продуктов коррозии - 1 по </w:t>
      </w:r>
      <w:hyperlink r:id="rId15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9.402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360" w:before="0" w:lineRule="auto"/>
        <w:jc w:val="center"/>
        <w:rPr>
          <w:b w:val="1"/>
          <w:color w:val="444444"/>
          <w:sz w:val="24"/>
          <w:szCs w:val="24"/>
        </w:rPr>
      </w:pPr>
      <w:bookmarkStart w:colFirst="0" w:colLast="0" w:name="_lhzqp8fnz598" w:id="2"/>
      <w:bookmarkEnd w:id="2"/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2. ТРЕБОВАНИЯ К ПОКРЫТИЮ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2.1. Внешний вид покрытия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2.1.1. При внешнем осмотре поверхность цинкового покрытия должна быть гладкой или шероховатой, покрытие должно быть сплошным.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Цвет покрытия от серебристо-блестящего до матового темно-серого.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2.1.2. На поверхности изделий не должно быть трещин, забоин, вздутий.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2.1.3. Наличие наплывов цинка недопустимо, если они препятствуют сборке. Крупинки гартцинка диаметром не более 2 мм, рябизна поверхности, светло-серые пятна и цвета побежалости, риски, царапины, следы захвата подъемными приспособлениями без разрушения покрытия до основного металла не являются дефектами.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Допустимо восстановление непрокрытых участков, если они не шире 2 см и составляют не более 2% общей площади поверхности. Непрокрытые участки защищают слоем цинксодержащего лакокрасочного покрытия (минимальная толщина 90 мкм, массовая доля цинка в сухой пленке 80%-85%) или газотермическим напылением цинка (минимальная толщина 120 мкм).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2.2. Толщина покрытия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Толщина покрытия должна быть нe менее 40 мкм и не более 200 мкм и определяется условиями эксплуатации оцинкованных изделий и нормативно-технической документацией на конкретное изделие.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2.3. Прочность сцепления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Покрытие обладает удовлетворительным сцеплением, если выдерживает испытания по методам, приведенным в п.4.4.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360" w:before="0" w:lineRule="auto"/>
        <w:jc w:val="center"/>
        <w:rPr>
          <w:b w:val="1"/>
          <w:color w:val="444444"/>
          <w:sz w:val="24"/>
          <w:szCs w:val="24"/>
        </w:rPr>
      </w:pPr>
      <w:bookmarkStart w:colFirst="0" w:colLast="0" w:name="_xdrzqvvf8oiq" w:id="3"/>
      <w:bookmarkEnd w:id="3"/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3. ТРЕБОВАНИЯ К КОНТРОЛЮ ОСНОВНОГО МЕТАЛЛА И КАЧЕСТВА ПОКРЫТИЯ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3.1. Перед нанесением покрытий 2%-5% изделий из партии, но не менее трех, а для изделий единичного производства - каждое изделие контролируют на соответствие пп.1.1, 1.2.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3.2. Полуфабрикаты (проволоку, трубы и т.п.) подвергают входному контролю на соответствие требованиям нормативно-технической документации на поставку и требованиям пп.1.1, 1.2.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3.3. Нанесенное цинковое покрытие подвергают контролю по внешнему виду, толщине и прочности сцепления.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На контроль предъявляют каждую партию оцинкованных изделий. За партию принимают единицу продукции или груза, состоящую из одного или более изделий одинакового типа и размера, принадлежащих к одному заказу, если на них нанесено покрытие за одну смену и в одной и той же ванне.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3.4. Контроль внешнего вида покрытий проводят на 100% изделий.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3.5. Контролю толщины и прочности сцепления подвергают: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1) элементы стальных конструкций в количестве до 1%, но не менее 2 шт. от партии;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2) сварные узлы в количестве до 5%, но не менее 1 штуки от партии;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3) резьбовые крепежные детали в количестве до 0,5%, но не менее 3 штук от партии.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Допускается применение методов статистического контроля по </w:t>
      </w:r>
      <w:hyperlink r:id="rId16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18242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*.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* На территории Российской Федерации действует </w:t>
      </w:r>
      <w:hyperlink r:id="rId17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Р 50779.71-99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Контроль толщины покрытия металлографическим методом допускается проводить на одной детали из партии.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3.6. Изделия, на которых проводился контроль качества разрушающими методами, разрешается предъявлять к приемке после восстановления покрытия.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3.7. Контроль толщины покрытия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3.7.1. Контроль толщины покрытия проводят до его дополнительной обработки (хроматирование, нанесение консервационных смазок и т.п.).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3.7.2. Толщину покрытия контролируют на поверхности, не имеющей накатки и резьбы на расстоянии не менее 5 мм от ребер, углов, отверстий и мест контакта с приспособлением. Толщину покрытия на резьбовых крепежных деталях контролируют на головках болтов и на торцах гаек.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3.7.3. Измерительный инструмент для неразрушающего контроля толщины покрытия должен иметь погрешность измерения не более ±10%.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3.8. При получении неудовлетворительных результатов контроля толщины и прочности сцепления проводят повторный контроль на удвоенном количестве деталей.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При получении неудовлетворительных результатов повторного контроля всю партию оцинкованных изделий бракуют.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3.9. Контроль состава ванны горячего цинкования по требованию заказчика проводят до извлечения изделий из ванны.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360" w:before="0" w:lineRule="auto"/>
        <w:jc w:val="center"/>
        <w:rPr>
          <w:b w:val="1"/>
          <w:color w:val="444444"/>
          <w:sz w:val="24"/>
          <w:szCs w:val="24"/>
        </w:rPr>
      </w:pPr>
      <w:bookmarkStart w:colFirst="0" w:colLast="0" w:name="_j15jxy86g12k" w:id="4"/>
      <w:bookmarkEnd w:id="4"/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4. МЕТОДЫ КОНТРОЛЯ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4.1. Контроль внешнего вида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Внешний вид покрытий контролируют визуальным осмотром невооруженным глазом при освещенности не менее 300 лк на расстоянии 25 см от контролируемой поверхности.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4.2. Контроль толщины покрытия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4.2.1. Магнитный метод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Метод основан на регистрации изменения магнитного сопротивления в зависимости от толщины покрытия. В качестве измерительных приборов используют магнитные толщиномеры.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За результат измерения толщины покрытия принимают среднеарифметическое значение не менее пяти измерений у краев и в середине контролируемой поверхности одного изделия.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Относительная погрешность метода -  ±10%.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4.2.2. Металлографический метод (арбитражный)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Метод основан на измерении толщины покрытия на поперечном шлифе с применением металлографических микроскопов различных типов.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Образец для изготовления шлифа вырезают из оцинкованного изделия.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Толщину цинкового покрытия измеряют на шлифе в трех и более точках, равномерно распределенных на линейном участке длиной около 1 см. За результат принимают среднеарифметическое значение результатов всех измерений.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Относительная погрешность метода -  ±10%.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4.2.3. Среднюю толщину покрытия (</w:t>
      </w: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292100" cy="241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) в микрометрах определяют неразрушающими методами или гравиметрическим методом по разности масс образца до и после получения или до и после снятия покрытия по </w:t>
      </w:r>
      <w:hyperlink r:id="rId19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9.302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Для снятия покрытия применяют раствор: 3,2 г хлористой сурьмы или 2 г трехокиси сурьмы растворяют в 500 см</w:t>
      </w: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101600" cy="215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соляной кислоты, плотностью 1,19 г/см</w:t>
      </w: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101600" cy="2159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, ч.д.а., по </w:t>
      </w:r>
      <w:hyperlink r:id="rId22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3118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 в мерной колбе вместимостью 1 дм</w:t>
      </w: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101600" cy="2159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и доводят до метки дистиллированной водой по </w:t>
      </w:r>
      <w:hyperlink r:id="rId24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6709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Относительная погрешность гравиметрического метода -  ±10%.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4.3. Контроль химического состава цинкового расплава - по </w:t>
      </w:r>
      <w:hyperlink r:id="rId25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19251.1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, </w:t>
      </w:r>
      <w:hyperlink r:id="rId26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19251.2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, </w:t>
      </w:r>
      <w:hyperlink r:id="rId27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19251.3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, </w:t>
      </w:r>
      <w:hyperlink r:id="rId28">
        <w:r w:rsidDel="00000000" w:rsidR="00000000" w:rsidRPr="00000000">
          <w:rPr>
            <w:color w:val="3451a0"/>
            <w:sz w:val="24"/>
            <w:szCs w:val="24"/>
            <w:u w:val="single"/>
            <w:rtl w:val="0"/>
          </w:rPr>
          <w:t xml:space="preserve">ГОСТ 19251.5</w:t>
        </w:r>
      </w:hyperlink>
      <w:r w:rsidDel="00000000" w:rsidR="00000000" w:rsidRPr="00000000">
        <w:rPr>
          <w:color w:val="44444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Массовая доля цинка в рабочем объеме ванны должна быть не менее 98%.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4.4. Контроль прочности сцепления покрытий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4.4.1. Метод нанесения сетки царапин (при толщине покрытий до 50 мкм)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На очищенной поверхности контролируемого покрытия инструментом со стальным острием под углом 30° (твердость металла острия должна быть выше твердости покрытия) наносят по четыре-шесть параллельных линий глубиной до основного металла на расстоянии от 2,0 до 3,0 мм друг от друга и перпендикулярно к ним. Линии проводят в одном направлении. Прочность сцепления удовлетворительна, если на контролируемой поверхности не наблюдается отслаивание покрытия.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4.4.2. Метод крацевания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Для метода крацевания применяют стальные и латунные щетки диаметром проволоки 0,1-0,3 мм и скоростью вращения щеток - 1500-2800 мин</w:t>
      </w: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139700" cy="1905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Поверхность покрытия крацуют не менее 15 с. После крацевания на контролируемой поверхности не должно наблюдаться вздутия или отслаивания покрытия.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4.4.3. Метод нагрева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При применении метода нагрева детали с покрытием или образцы-свидетели нагревают до (190±10)°С, выдерживают при данной температуре в течение 1 ч и охлаждают на воздухе. На контролируемой поверхности не допускаются вздутия или отслаивания покрытия.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4.4.4. Метод удара поворотным молотком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Плоскую поверхность изделия с толщиной основного металла не менее 3 мм очищают от пыли, механических загрязнений и обезжиривают органическими растворителями.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На плоскую поверхность изделия устанавливают поворотный молоток массой 212,5 г таким образом, чтобы головка молотка вертикально падала на горизонтальную поверхность изделия. Производят не менее двух ударов молотком так, чтобы расстояние между параллельными отпечатками составляло 6 мм, а расстояние от края отпечатка до края изделия составило не менее 13 мм.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Схема поворотного молотка приведена в приложении.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2"/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360" w:before="0" w:lineRule="auto"/>
        <w:jc w:val="right"/>
        <w:rPr>
          <w:b w:val="1"/>
          <w:color w:val="444444"/>
          <w:sz w:val="24"/>
          <w:szCs w:val="24"/>
        </w:rPr>
      </w:pPr>
      <w:bookmarkStart w:colFirst="0" w:colLast="0" w:name="_cqdqeri8m1g5" w:id="5"/>
      <w:bookmarkEnd w:id="5"/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ПРИЛОЖЕНИЕ</w:t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360" w:before="0" w:lineRule="auto"/>
        <w:jc w:val="right"/>
        <w:rPr>
          <w:b w:val="1"/>
          <w:color w:val="444444"/>
          <w:sz w:val="24"/>
          <w:szCs w:val="24"/>
        </w:rPr>
      </w:pPr>
      <w:bookmarkStart w:colFirst="0" w:colLast="0" w:name="_cqdqeri8m1g5" w:id="5"/>
      <w:bookmarkEnd w:id="5"/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Рекомендуемое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b w:val="1"/>
          <w:color w:val="444444"/>
          <w:sz w:val="24"/>
          <w:szCs w:val="24"/>
          <w:rtl w:val="0"/>
        </w:rPr>
        <w:t xml:space="preserve">СХЕМА ПОВОРОТНОГО МОЛОТКА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spacing w:after="240" w:lineRule="auto"/>
        <w:jc w:val="center"/>
        <w:rPr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69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90"/>
        <w:tblGridChange w:id="0">
          <w:tblGrid>
            <w:gridCol w:w="6690"/>
          </w:tblGrid>
        </w:tblGridChange>
      </w:tblGrid>
      <w:tr>
        <w:trPr>
          <w:trHeight w:val="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40.0" w:type="dxa"/>
              <w:bottom w:w="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color w:val="444444"/>
                <w:sz w:val="24"/>
                <w:szCs w:val="24"/>
              </w:rPr>
            </w:pPr>
            <w:r w:rsidDel="00000000" w:rsidR="00000000" w:rsidRPr="00000000">
              <w:rPr>
                <w:color w:val="444444"/>
                <w:sz w:val="24"/>
                <w:szCs w:val="24"/>
              </w:rPr>
              <w:drawing>
                <wp:inline distB="114300" distT="114300" distL="114300" distR="114300">
                  <wp:extent cx="3810000" cy="3454400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45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center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center"/>
        <w:rPr>
          <w:color w:val="444444"/>
          <w:sz w:val="24"/>
          <w:szCs w:val="24"/>
        </w:rPr>
      </w:pP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1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- молот; 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2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- прижимная плита; 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3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- поверхность образца; </w:t>
      </w:r>
      <w:r w:rsidDel="00000000" w:rsidR="00000000" w:rsidRPr="00000000">
        <w:rPr>
          <w:color w:val="444444"/>
          <w:sz w:val="24"/>
          <w:szCs w:val="24"/>
        </w:rPr>
        <w:drawing>
          <wp:inline distB="114300" distT="114300" distL="114300" distR="114300">
            <wp:extent cx="127000" cy="1397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- размер, определяемый опытным путем в зависимости от металла, из которого изготовлена головка молотка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ind w:firstLine="480"/>
        <w:jc w:val="both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Электронный текст документа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подготовлен АО "Кодекс" и сверен по: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официальное издание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Покрытия металлические.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Защита от коррозии: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Сб. стандартов. -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66" w:sz="0" w:val="none"/>
          <w:bottom w:color="auto" w:space="0" w:sz="0" w:val="none"/>
          <w:right w:color="auto" w:space="42" w:sz="0" w:val="none"/>
          <w:between w:color="auto" w:space="0" w:sz="0" w:val="none"/>
        </w:pBdr>
        <w:shd w:fill="ffffff" w:val="clear"/>
        <w:jc w:val="both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М.: ИПК Издательство стандартов, 2005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hyperlink" Target="https://docs.cntd.ru/document/1200017281#7D20K3" TargetMode="External"/><Relationship Id="rId21" Type="http://schemas.openxmlformats.org/officeDocument/2006/relationships/image" Target="media/image4.png"/><Relationship Id="rId24" Type="http://schemas.openxmlformats.org/officeDocument/2006/relationships/hyperlink" Target="https://docs.cntd.ru/document/1200005680#7D20K3" TargetMode="External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cntd.ru/document/1200003954#7D20K3" TargetMode="External"/><Relationship Id="rId26" Type="http://schemas.openxmlformats.org/officeDocument/2006/relationships/hyperlink" Target="https://docs.cntd.ru/document/1200010666#7D20K3" TargetMode="External"/><Relationship Id="rId25" Type="http://schemas.openxmlformats.org/officeDocument/2006/relationships/hyperlink" Target="https://docs.cntd.ru/document/1200010665#7D20K3" TargetMode="External"/><Relationship Id="rId28" Type="http://schemas.openxmlformats.org/officeDocument/2006/relationships/hyperlink" Target="https://docs.cntd.ru/document/1200010670#7D20K3" TargetMode="External"/><Relationship Id="rId27" Type="http://schemas.openxmlformats.org/officeDocument/2006/relationships/hyperlink" Target="https://docs.cntd.ru/document/1200010667#7D20K3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cntd.ru/document/747417966" TargetMode="External"/><Relationship Id="rId29" Type="http://schemas.openxmlformats.org/officeDocument/2006/relationships/image" Target="media/image5.png"/><Relationship Id="rId7" Type="http://schemas.openxmlformats.org/officeDocument/2006/relationships/hyperlink" Target="https://docs.cntd.ru/document/1200126952" TargetMode="External"/><Relationship Id="rId8" Type="http://schemas.openxmlformats.org/officeDocument/2006/relationships/hyperlink" Target="https://docs.cntd.ru/document/1200004819#7D20K3" TargetMode="External"/><Relationship Id="rId31" Type="http://schemas.openxmlformats.org/officeDocument/2006/relationships/image" Target="media/image6.png"/><Relationship Id="rId30" Type="http://schemas.openxmlformats.org/officeDocument/2006/relationships/image" Target="media/image7.png"/><Relationship Id="rId11" Type="http://schemas.openxmlformats.org/officeDocument/2006/relationships/hyperlink" Target="https://docs.cntd.ru/document/1200005680#7D20K3" TargetMode="External"/><Relationship Id="rId10" Type="http://schemas.openxmlformats.org/officeDocument/2006/relationships/hyperlink" Target="https://docs.cntd.ru/document/1200017281#7D20K3" TargetMode="External"/><Relationship Id="rId13" Type="http://schemas.openxmlformats.org/officeDocument/2006/relationships/hyperlink" Target="https://docs.cntd.ru/document/1200010667#7D20K3" TargetMode="External"/><Relationship Id="rId12" Type="http://schemas.openxmlformats.org/officeDocument/2006/relationships/hyperlink" Target="https://docs.cntd.ru/document/1200010665#7D20K3" TargetMode="External"/><Relationship Id="rId15" Type="http://schemas.openxmlformats.org/officeDocument/2006/relationships/hyperlink" Target="https://docs.cntd.ru/document/1200040460#7D20K3" TargetMode="External"/><Relationship Id="rId14" Type="http://schemas.openxmlformats.org/officeDocument/2006/relationships/hyperlink" Target="https://docs.cntd.ru/document/1200010670#7D20K3" TargetMode="External"/><Relationship Id="rId17" Type="http://schemas.openxmlformats.org/officeDocument/2006/relationships/hyperlink" Target="https://docs.cntd.ru/document/1200025678#7D20K3" TargetMode="External"/><Relationship Id="rId16" Type="http://schemas.openxmlformats.org/officeDocument/2006/relationships/hyperlink" Target="https://docs.cntd.ru/document/1200012872" TargetMode="External"/><Relationship Id="rId19" Type="http://schemas.openxmlformats.org/officeDocument/2006/relationships/hyperlink" Target="https://docs.cntd.ru/document/1200004819#7D20K3" TargetMode="External"/><Relationship Id="rId1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